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7E92D" w14:textId="77777777" w:rsidR="008813E6" w:rsidRDefault="008813E6" w:rsidP="008813E6">
      <w:pPr>
        <w:spacing w:after="0" w:line="240" w:lineRule="auto"/>
        <w:jc w:val="both"/>
        <w:rPr>
          <w:rFonts w:ascii="Times New Roman" w:eastAsia="Aptos" w:hAnsi="Times New Roman" w:cs="Times New Roman"/>
          <w:lang w:val="pl-PL"/>
          <w14:ligatures w14:val="none"/>
        </w:rPr>
      </w:pPr>
      <w:r w:rsidRPr="005E6D29">
        <w:rPr>
          <w:rFonts w:ascii="Times New Roman" w:eastAsia="Aptos" w:hAnsi="Times New Roman" w:cs="Times New Roman"/>
          <w:lang w:val="pl-PL"/>
          <w14:ligatures w14:val="none"/>
        </w:rPr>
        <w:t xml:space="preserve">Załącznik Nr </w:t>
      </w:r>
      <w:r>
        <w:rPr>
          <w:rFonts w:ascii="Times New Roman" w:eastAsia="Aptos" w:hAnsi="Times New Roman" w:cs="Times New Roman"/>
          <w:lang w:val="pl-PL"/>
          <w14:ligatures w14:val="none"/>
        </w:rPr>
        <w:t>19</w:t>
      </w:r>
    </w:p>
    <w:p w14:paraId="29D92F54" w14:textId="77777777" w:rsidR="008813E6" w:rsidRDefault="008813E6" w:rsidP="008813E6">
      <w:pPr>
        <w:spacing w:after="0" w:line="240" w:lineRule="auto"/>
        <w:jc w:val="both"/>
        <w:rPr>
          <w:rFonts w:ascii="Times New Roman" w:eastAsia="Aptos" w:hAnsi="Times New Roman" w:cs="Times New Roman"/>
          <w:lang w:val="pl-PL"/>
          <w14:ligatures w14:val="none"/>
        </w:rPr>
      </w:pPr>
    </w:p>
    <w:p w14:paraId="0BF9640A"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W kontekście detencji administracyjnej cudzoziemców, a w szczególności ostatnich uwag Komitetu do VII sprawozdania (pkt 32), należy podkreślić wysiłki, jakie Polska podjęła w ostatnich latach. Wprowadzono kluczowe zmiany w zarządzaniu i funkcjonowaniu strzeżonych ośrodków. Położono jeszcze większy nacisk na stosowanie w pierwszej kolejności środków alternatywnych do detencji, co zobrazują przedstawione dane statystyczne. Podjęto również wiele inicjatyw w celu zabezpieczenia dobra małoletniego cudzoziemca przebywającego w strzeżonym ośrodku.</w:t>
      </w:r>
    </w:p>
    <w:p w14:paraId="797F81C9"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Należy podkreślić, że w Polsce istnieje ustawowy zakaz umieszczania w strzeżonym ośrodku małoletnich bez opieki znajdujących się w procedurze uchodźczej. Osoby tej kategorii umieszczane są wyłącznie w placówkach opiekuńczo-wychowawczych. </w:t>
      </w:r>
    </w:p>
    <w:p w14:paraId="2BA2F807"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Małoletni bez opieki znajdujący się w procedurze </w:t>
      </w:r>
      <w:proofErr w:type="spellStart"/>
      <w:r w:rsidRPr="004C7F3B">
        <w:rPr>
          <w:rFonts w:ascii="Times New Roman" w:eastAsia="Aptos" w:hAnsi="Times New Roman" w:cs="Times New Roman"/>
          <w:lang w:val="pl-PL"/>
          <w14:ligatures w14:val="none"/>
        </w:rPr>
        <w:t>powrotowej</w:t>
      </w:r>
      <w:proofErr w:type="spellEnd"/>
      <w:r w:rsidRPr="004C7F3B">
        <w:rPr>
          <w:rFonts w:ascii="Times New Roman" w:eastAsia="Aptos" w:hAnsi="Times New Roman" w:cs="Times New Roman"/>
          <w:lang w:val="pl-PL"/>
          <w14:ligatures w14:val="none"/>
        </w:rPr>
        <w:t>, co do zasady również trafiają do ośrodków opiekuńczo-wychowawczych. Jedynie w wyjątkowych sytuacjach, co również potwierdzają dane statystyczne, gdy sprawa dotyczy małoletniego, który ukończył 15 rok życia, sąd ma możliwość zdecydowania o jego umieszczeniu w strzeżonym ośrodku. Sąd jest zobowiązany wziąć przy tym pod uwagę dobro małoletniego, jego stan psychofizyczny oraz okoliczności zatrzymania.</w:t>
      </w:r>
    </w:p>
    <w:p w14:paraId="2611EFB3"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Odnośnie liczby małoletnich cudzoziemców przebywających w strzeżonych ośrodkach należy wskazać, że skala w tym zakresie znacznie się zmniejszyła. Dla rodzin z dziećmi i samotnych kobiet dedykowany jest tylko jeden ośrodek (Lesznowola). </w:t>
      </w:r>
    </w:p>
    <w:p w14:paraId="192560A0"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W latach 2017-2018 małoletni stanowili ok. 20% wszystkich cudzoziemców umieszczanych w strzeżonych ośrodkach. W latach 2019-2022 skala ta obniżyła się do poziomu ok. 10-14%, a w latach kolejnych osiągnęła bardzo niski odsetek najpierw 5% (2023 r.), a następnie 3% (2024 r.). Udział procentowy samych małoletnich bez opieki od lat jest znikomy. Do 2022 roku stanowił on ok. 2% wszystkich cudzoziemców, wobec których sąd zastosował środek detencyjny, a w latach 2023-2024 – zaledwie ok. 1%. </w:t>
      </w:r>
    </w:p>
    <w:p w14:paraId="49F88F40"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Odnośnie wykorzystania środków alternatywnych do detencji należy wskazać, że w Polsce obserwujemy również stopniowy ich wzrost (po okresie pandemii). Analizując dane w tym zakresie należy mieć na uwadze sytuację geopolityczną oraz epidemiczną, jaka miała miejsce na przestrzeni ostatnich lat (rok 2020 i 2021 to spadek wykorzystania środków alternatywnych do najpierw 38%, a następnie 19%, co wynikało ze zmniejszonej skali migracji i ruchów transgranicznych, a także wprowadzonych restrykcji i lockdownu i na koniec kryzys migracyjny wywołany przez reżim białoruski). Od 2022 roku udział procentowy wykorzystania środków alternatywnych rośnie (w 2022 34%, w 2023 52%, w 2024 66%).</w:t>
      </w:r>
    </w:p>
    <w:p w14:paraId="5F9C5BC5"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Odnośnie średniego okresu pobytu małoletnich w strzeżonym ośrodku (bez opieki i  pod opieką), należy wskazać, że do roku 2021 okres ten malał (2018 – 99 dni, 2019 – 88 dni, 2020 – 70 dni, 2021 – 58 dni), w 2022 roku osiągnął aż 120 dni, po czym ponownie zmalał (2023 – 42 dni, 2024 – 59 dni, z tym że dla małoletnich bez opieki okres ten wyniósł 24 dni). </w:t>
      </w:r>
    </w:p>
    <w:p w14:paraId="0C798663"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Powyższe przyczyniło się do wypracowania nowych rozwiązań. Szef Urzędu ds. Cudzoziemców od 2023 roku sukcesywnie uruchamiał oddziały zamiejscowe Urzędu, zlokalizowane przy strzeżonych ośrodkach. Dzięki nowo otwartym placówkom znacznemu skróceniu uległ czas prowadzenia postępowań wobec cudzoziemców przebywających w warunkach detencji.</w:t>
      </w:r>
    </w:p>
    <w:p w14:paraId="2D253412"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Należy wspomnieć również o poczynionych inwestycjach budowlanych, w tym w szczególności o nowo wybudowanym, otworzonym we wrześniu 2023 r. budynku strzeżonego ośrodka dla cudzoziemców w Lesznowoli, przeznaczonym dla rodzin, samotnych kobiet i małoletnich bez opieki. To nowoczesny budynek spełniający wszelkie wymogi określone w prawie krajowym i gwarantujący pełne bezpieczeństwo osobom umieszczonym w ośrodku. Składa się z czterech kondygnacji, na których rozmieszczone są kilkuosobowe pokoje </w:t>
      </w:r>
      <w:r w:rsidRPr="004C7F3B">
        <w:rPr>
          <w:rFonts w:ascii="Times New Roman" w:eastAsia="Aptos" w:hAnsi="Times New Roman" w:cs="Times New Roman"/>
          <w:lang w:val="pl-PL"/>
          <w14:ligatures w14:val="none"/>
        </w:rPr>
        <w:lastRenderedPageBreak/>
        <w:t xml:space="preserve">z własnymi pełnymi węzłami sanitarnymi, przystosowanymi do pobytu rodzin wraz z dziećmi. Rozwiązania techniczne umożliwiają też, w zależności od zidentyfikowanych potrzeb, dostosowanie standardowych pomieszczeń do pobytu rodzin wielodzietnych (budowa modułowa). W budynku znajdują się sale lekcyjne i przedszkolne dla najmłodszych, przestronna stołówka wraz z punktem wydawania posiłków, a także nowoczesne zaplecze sanitarne (węzły sanitarne: umywalnie, natryski, wanienki i przewijaki dla niemowląt), zaplecze socjalne umożliwiające m.in. przygotowywanie / podgrzewanie posiłków. Ośrodek dysponuje również salami komputerowymi wraz z dostępem do Internetu, świetlicami, biblioteką oraz szeregiem pomieszczeń niezbędnych do zapewnienia wymaganej obsługi strzeżonego ośrodka i przebywających w nim cudzoziemców i personelu. W budynku znajdują się również dwie sale modlitewne (pomieszczenie ekumeniczne dla muzułmanów oraz pomieszczenie ekumeniczne dla chrześcijan). Parter budynku jest przeznaczony do obsługi medycznej cudzoziemców – znajdują się tam gabinety lekarskie oraz dodatkowe odrębne pomieszczenie z przeznaczeniem wyłącznie na potrzeby świadczenia opieki psychologicznej. Budynek dysponuje również siłownią oraz salą fitness. Na potrzeby cudzoziemców zagospodarowano przestrzeń wokół budynku. Cudzoziemcy mają do dyspozycji plac rekreacyjny (z podziałem na przestrzeń dla dorosłych i dla dzieci), wyposażony w sprzęt służący do aktywnego spędzania czasu na świeżym powietrzu. </w:t>
      </w:r>
    </w:p>
    <w:p w14:paraId="074B618C"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xml:space="preserve">Odnośnie nowych procedur stosowanych w strzeżonych ośrodkach warto wskazać na następujące: </w:t>
      </w:r>
    </w:p>
    <w:p w14:paraId="71E9E484"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„Chronimy dzieci w strzeżonych ośrodkach”;</w:t>
      </w:r>
    </w:p>
    <w:p w14:paraId="34F07FAF"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„Postępowania Straży Granicznej z osobami wymagającymi szczególnego traktowania”;</w:t>
      </w:r>
    </w:p>
    <w:p w14:paraId="095F2D6D"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 „Kwestionariusz oceny najlepszego interesu dziecka w miejscu detencji”.</w:t>
      </w:r>
    </w:p>
    <w:p w14:paraId="235E61B3"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p>
    <w:p w14:paraId="76D6E538" w14:textId="77777777" w:rsidR="008813E6" w:rsidRPr="004C7F3B" w:rsidRDefault="008813E6" w:rsidP="008813E6">
      <w:pPr>
        <w:spacing w:after="0" w:line="240" w:lineRule="auto"/>
        <w:jc w:val="both"/>
        <w:rPr>
          <w:rFonts w:ascii="Times New Roman" w:eastAsia="Aptos" w:hAnsi="Times New Roman" w:cs="Times New Roman"/>
          <w:b/>
          <w:bCs/>
          <w:lang w:val="pl-PL"/>
          <w14:ligatures w14:val="none"/>
        </w:rPr>
      </w:pPr>
      <w:r w:rsidRPr="004C7F3B">
        <w:rPr>
          <w:rFonts w:ascii="Times New Roman" w:eastAsia="Aptos" w:hAnsi="Times New Roman" w:cs="Times New Roman"/>
          <w:b/>
          <w:bCs/>
          <w:lang w:val="pl-PL"/>
          <w14:ligatures w14:val="none"/>
        </w:rPr>
        <w:t>Wdrażanie alternatyw dla zatrzymania, w szczególności w odniesieniu do osób o szczególnych potrzebach, w tym dzieci, zgodnie z art. 317 ustawy o cudzoziemcach i art. 88 ustawy o udzielaniu ochrony międzynarodowej</w:t>
      </w:r>
    </w:p>
    <w:p w14:paraId="2D248357" w14:textId="77777777" w:rsidR="008813E6" w:rsidRPr="004C7F3B" w:rsidRDefault="008813E6" w:rsidP="008813E6">
      <w:pPr>
        <w:spacing w:after="0" w:line="240" w:lineRule="auto"/>
        <w:jc w:val="both"/>
        <w:rPr>
          <w:rFonts w:ascii="Times New Roman" w:eastAsia="Aptos" w:hAnsi="Times New Roman" w:cs="Times New Roman"/>
          <w:b/>
          <w:bCs/>
          <w:u w:val="single"/>
          <w:lang w:val="pl-PL"/>
          <w14:ligatures w14:val="none"/>
        </w:rPr>
      </w:pPr>
      <w:r w:rsidRPr="004C7F3B">
        <w:rPr>
          <w:rFonts w:ascii="Times New Roman" w:eastAsia="Aptos" w:hAnsi="Times New Roman" w:cs="Times New Roman"/>
          <w:lang w:val="pl-PL"/>
          <w14:ligatures w14:val="none"/>
        </w:rPr>
        <w:t xml:space="preserve">W polskim porządku prawnym istnieje możliwość, aby w ustawowo określonych przypadkach nakazać cudzoziemcowi przebywanie w określonym miejscu pobytu lub określonej miejscowości oraz zobowiązać go do zgłaszania się w określonych odstępach czasu do organu wskazanego w decyzji (alternatywa do detencji). </w:t>
      </w:r>
    </w:p>
    <w:p w14:paraId="6CCF6CF4" w14:textId="77777777" w:rsidR="008813E6" w:rsidRPr="004C7F3B" w:rsidRDefault="008813E6" w:rsidP="008813E6">
      <w:pPr>
        <w:spacing w:after="0" w:line="240" w:lineRule="auto"/>
        <w:jc w:val="both"/>
        <w:rPr>
          <w:rFonts w:ascii="Times New Roman" w:eastAsia="Aptos" w:hAnsi="Times New Roman" w:cs="Times New Roman"/>
          <w:b/>
          <w:bCs/>
          <w:u w:val="single"/>
          <w:lang w:val="pl-PL"/>
          <w14:ligatures w14:val="none"/>
        </w:rPr>
      </w:pPr>
    </w:p>
    <w:p w14:paraId="6C93D05D"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b/>
          <w:bCs/>
          <w:lang w:val="pl-PL"/>
          <w14:ligatures w14:val="none"/>
        </w:rPr>
        <w:t>Odnośnie warunków detencji cudzoziemców</w:t>
      </w:r>
      <w:r w:rsidRPr="004C7F3B">
        <w:rPr>
          <w:rFonts w:ascii="Times New Roman" w:eastAsia="Aptos" w:hAnsi="Times New Roman" w:cs="Times New Roman"/>
          <w:lang w:val="pl-PL"/>
          <w14:ligatures w14:val="none"/>
        </w:rPr>
        <w:t xml:space="preserve"> należy wyjaśnić, że w strukturach Straży Granicznej znajduje się sześć strzeżonych ośrodków dla cudzoziemców. Ośrodki te są profilowane pod względem kategorii osób tam umieszczanych na ośrodki dla mężczyzn i ośrodki dla rodzin z dziećmi i samotnych kobiet – i według tych profili są </w:t>
      </w:r>
      <w:proofErr w:type="spellStart"/>
      <w:r w:rsidRPr="004C7F3B">
        <w:rPr>
          <w:rFonts w:ascii="Times New Roman" w:eastAsia="Aptos" w:hAnsi="Times New Roman" w:cs="Times New Roman"/>
          <w:lang w:val="pl-PL"/>
          <w14:ligatures w14:val="none"/>
        </w:rPr>
        <w:t>doposażane</w:t>
      </w:r>
      <w:proofErr w:type="spellEnd"/>
      <w:r w:rsidRPr="004C7F3B">
        <w:rPr>
          <w:rFonts w:ascii="Times New Roman" w:eastAsia="Aptos" w:hAnsi="Times New Roman" w:cs="Times New Roman"/>
          <w:lang w:val="pl-PL"/>
          <w14:ligatures w14:val="none"/>
        </w:rPr>
        <w:t xml:space="preserve"> dla danych kategorii. Profile te mogą ulegać zmianie, w zależności od potrzeb recepcyjnych Straży Granicznej.</w:t>
      </w:r>
    </w:p>
    <w:p w14:paraId="7DAD6635"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Kwestia przeludnienia ośrodków wiązała się z początkowym nagłym i niespodziewanym kryzysem migracyjnym wywołanego przez Stronę białoruską, kiedy to uruchomiono dodatkowy obiekt w Wędrzynie, użyczony Straży Granicznej od wojska w okresie od sierpnia 2021 r. do sierpnia 2022 r.. W tym obiekcie warunki miały niższe standardy, niemniej nadal spełniały minimalne normy w tym zakresie. Było to rozwiązanie zdecydowanie lepsze niż np. wyodrębnienie miejsc detencyjnych dla migrantów w zakładach karnych, na co zezwala prawo unijne, w tym ww. dyrektywa 2008/115/WE. Okres funkcjonowania Wędrzyna trwał rok czasu.</w:t>
      </w:r>
    </w:p>
    <w:p w14:paraId="00370B26"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b/>
          <w:bCs/>
          <w:lang w:val="pl-PL"/>
          <w14:ligatures w14:val="none"/>
        </w:rPr>
        <w:t>Należy wspomnieć również o poczynionych inwestycjach budowlanych</w:t>
      </w:r>
      <w:r w:rsidRPr="004C7F3B">
        <w:rPr>
          <w:rFonts w:ascii="Times New Roman" w:eastAsia="Aptos" w:hAnsi="Times New Roman" w:cs="Times New Roman"/>
          <w:lang w:val="pl-PL"/>
          <w14:ligatures w14:val="none"/>
        </w:rPr>
        <w:t xml:space="preserve">, w tym w szczególności o nowo wybudowanym, otworzonym we wrześniu 2023 r. budynku strzeżonego ośrodka dla cudzoziemców w Lesznowoli, przeznaczonym w szczególności dla rodzin. To nowoczesny budynek spełniający wszelkie wymogi i gwarantujący pełne bezpieczeństwo osobom umieszczonym w ośrodku. Na czterech kondygnacjach rozmieszczone są </w:t>
      </w:r>
      <w:r w:rsidRPr="004C7F3B">
        <w:rPr>
          <w:rFonts w:ascii="Times New Roman" w:eastAsia="Aptos" w:hAnsi="Times New Roman" w:cs="Times New Roman"/>
          <w:lang w:val="pl-PL"/>
          <w14:ligatures w14:val="none"/>
        </w:rPr>
        <w:lastRenderedPageBreak/>
        <w:t xml:space="preserve">kilkuosobowe pokoje z własnymi pełnymi węzłami sanitarnymi, przystosowanymi do pobytu rodzin wraz z dziećmi. Pomieszczenia mogą być dostosowane do pobytu rodzin wielodzietnych (budowa modułowa). W budynku znajdują się sale lekcyjne i przedszkolne dla najmłodszych, przestronna stołówka wraz z punktem wydawania posiłków, a także nowoczesne zaplecze sanitarne i socjalne. Ośrodek dysponuje również salami komputerowymi wraz z dostępem do Internetu, świetlicami, biblioteką. W budynku znajdują się również dwie sale modlitewne. W budynku są gabinety lekarskie oraz  pomieszczenie psychologa. Budynek dysponuje również siłownią oraz salą fitness. </w:t>
      </w:r>
    </w:p>
    <w:p w14:paraId="5AB36913"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b/>
          <w:bCs/>
          <w:lang w:val="pl-PL"/>
          <w14:ligatures w14:val="none"/>
        </w:rPr>
        <w:t>Odnośnie opieki medycznej</w:t>
      </w:r>
      <w:r w:rsidRPr="004C7F3B">
        <w:rPr>
          <w:rFonts w:ascii="Times New Roman" w:eastAsia="Aptos" w:hAnsi="Times New Roman" w:cs="Times New Roman"/>
          <w:lang w:val="pl-PL"/>
          <w14:ligatures w14:val="none"/>
        </w:rPr>
        <w:t xml:space="preserve"> należy wskazać, że każdy cudzoziemiec po przyjęciu go do strzeżonego ośrodka jest niezwłocznie poddawany badaniom lekarskim.  W trakcie pobytu ma prawo do korzystania z opieki medycznej i do pobytu w szpitalu, jeżeli stan zdrowia tego wymaga. Cudzoziemcowi oferowana jest pomoc specjalistyczna, w tym psychiatryczna, a także opieka terapeutyczna.  </w:t>
      </w:r>
    </w:p>
    <w:p w14:paraId="2FD2E78E"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b/>
          <w:bCs/>
          <w:lang w:val="pl-PL"/>
          <w14:ligatures w14:val="none"/>
        </w:rPr>
        <w:t>Odnośnie szczególnych procedur</w:t>
      </w:r>
      <w:r w:rsidRPr="004C7F3B">
        <w:rPr>
          <w:rFonts w:ascii="Times New Roman" w:eastAsia="Aptos" w:hAnsi="Times New Roman" w:cs="Times New Roman"/>
          <w:lang w:val="pl-PL"/>
          <w14:ligatures w14:val="none"/>
        </w:rPr>
        <w:t xml:space="preserve"> należy podkreślić, że już od 2015 r. funkcjonują takie procedury, w szczególności „Zasady postępowania Straży Granicznej z cudzoziemcami wymagającymi szczególnego traktowania”, do których zaliczają się również małoletni i małoletni bez opieki. Algorytm ten ustanawia jasne zasady, komu i na jakim etapie należy wdrożyć odpowiednią pomoc, w tym pomoc psychologiczną i psychiatryczną. Wskazuje on również sygnały, które powinny po zweryfikowaniu prowadzić do zwolnienia cudzoziemca ze strzeżonego ośrodka. Zgodnie z tym dokumentem we wszystkich strzeżonych ośrodkach ustanowiono tzw. „opiekunów </w:t>
      </w:r>
      <w:proofErr w:type="spellStart"/>
      <w:r w:rsidRPr="004C7F3B">
        <w:rPr>
          <w:rFonts w:ascii="Times New Roman" w:eastAsia="Aptos" w:hAnsi="Times New Roman" w:cs="Times New Roman"/>
          <w:lang w:val="pl-PL"/>
          <w14:ligatures w14:val="none"/>
        </w:rPr>
        <w:t>powrotowych</w:t>
      </w:r>
      <w:proofErr w:type="spellEnd"/>
      <w:r w:rsidRPr="004C7F3B">
        <w:rPr>
          <w:rFonts w:ascii="Times New Roman" w:eastAsia="Aptos" w:hAnsi="Times New Roman" w:cs="Times New Roman"/>
          <w:lang w:val="pl-PL"/>
          <w14:ligatures w14:val="none"/>
        </w:rPr>
        <w:t xml:space="preserve">” i „opiekunów socjalnych”, których zadaniem jest utrzymywanie jak najlepszego kontaktu z cudzoziemcem, zarówno w celu przekazania mu aktualnych informacji na temat jego procedur, jak i w celu monitorowania jego </w:t>
      </w:r>
      <w:proofErr w:type="spellStart"/>
      <w:r w:rsidRPr="004C7F3B">
        <w:rPr>
          <w:rFonts w:ascii="Times New Roman" w:eastAsia="Aptos" w:hAnsi="Times New Roman" w:cs="Times New Roman"/>
          <w:lang w:val="pl-PL"/>
          <w14:ligatures w14:val="none"/>
        </w:rPr>
        <w:t>zachowań</w:t>
      </w:r>
      <w:proofErr w:type="spellEnd"/>
      <w:r w:rsidRPr="004C7F3B">
        <w:rPr>
          <w:rFonts w:ascii="Times New Roman" w:eastAsia="Aptos" w:hAnsi="Times New Roman" w:cs="Times New Roman"/>
          <w:lang w:val="pl-PL"/>
          <w14:ligatures w14:val="none"/>
        </w:rPr>
        <w:t xml:space="preserve"> i nastrojów. „Zasady” te zostały zaktualizowane w 2019 r. </w:t>
      </w:r>
    </w:p>
    <w:p w14:paraId="4909F8CB"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Ponadto w 2018 r. opracowano i wdrożono politykę „Chronimy dzieci w strzeżonych ośrodkach”, zapobiegającą i przeciwdziałającą krzywdzeniu dzieci w miejscach detencji. Opracowano i wdrożono procedury interwencji na wypadek ujawnienia krzywdzenia dziecka, w tym krzywdzenia przez innych członków rodziny (przemoc domowa) lub przez rówieśników. W ich następstwie przeprowadzono szkolenia pracowników strzeżonych ośrodków dotyczące identyfikowania przypadków krzywdzenia dzieci, wykorzystywania seksualnego oraz reagowania na takie zjawiska.</w:t>
      </w:r>
    </w:p>
    <w:p w14:paraId="1E9A6528"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r w:rsidRPr="004C7F3B">
        <w:rPr>
          <w:rFonts w:ascii="Times New Roman" w:eastAsia="Aptos" w:hAnsi="Times New Roman" w:cs="Times New Roman"/>
          <w:lang w:val="pl-PL"/>
          <w14:ligatures w14:val="none"/>
        </w:rPr>
        <w:t>W czerwcu 2024 r. wprowadzono „Kwestionariusz oceny najlepszego interesu dziecka w miejscu detencji”, którego zasadniczą część stanowi wysłuchanie małoletniego oparte na swobodnej wypowiedzi dziecka.</w:t>
      </w:r>
    </w:p>
    <w:p w14:paraId="2427681B" w14:textId="77777777" w:rsidR="008813E6" w:rsidRPr="004C7F3B" w:rsidRDefault="008813E6" w:rsidP="008813E6">
      <w:pPr>
        <w:spacing w:after="0" w:line="240" w:lineRule="auto"/>
        <w:jc w:val="both"/>
        <w:rPr>
          <w:rFonts w:ascii="Times New Roman" w:eastAsia="Aptos" w:hAnsi="Times New Roman" w:cs="Times New Roman"/>
          <w:lang w:val="pl-PL"/>
          <w14:ligatures w14:val="none"/>
        </w:rPr>
      </w:pPr>
    </w:p>
    <w:p w14:paraId="16D18C9B" w14:textId="77777777" w:rsidR="008813E6" w:rsidRPr="004C7F3B" w:rsidRDefault="008813E6" w:rsidP="008813E6">
      <w:pPr>
        <w:tabs>
          <w:tab w:val="left" w:pos="360"/>
        </w:tabs>
        <w:spacing w:after="0" w:line="240" w:lineRule="auto"/>
        <w:jc w:val="both"/>
        <w:rPr>
          <w:rFonts w:ascii="Times New Roman" w:eastAsia="Times New Roman" w:hAnsi="Times New Roman" w:cs="Times New Roman"/>
          <w:b/>
          <w:bCs/>
          <w:kern w:val="0"/>
          <w:lang w:val="pl-PL" w:eastAsia="pl-PL"/>
          <w14:ligatures w14:val="none"/>
        </w:rPr>
      </w:pPr>
    </w:p>
    <w:p w14:paraId="000BE403" w14:textId="77777777" w:rsidR="008813E6" w:rsidRPr="004C7F3B" w:rsidRDefault="008813E6" w:rsidP="008813E6">
      <w:pPr>
        <w:rPr>
          <w:lang w:val="pl-PL"/>
        </w:rPr>
      </w:pPr>
    </w:p>
    <w:p w14:paraId="036F142D" w14:textId="77777777" w:rsidR="00A4043E" w:rsidRPr="008813E6" w:rsidRDefault="00A4043E">
      <w:pPr>
        <w:rPr>
          <w:lang w:val="pl-PL"/>
        </w:rPr>
      </w:pPr>
    </w:p>
    <w:sectPr w:rsidR="00A4043E" w:rsidRPr="008813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E6"/>
    <w:rsid w:val="003048F7"/>
    <w:rsid w:val="00674D0F"/>
    <w:rsid w:val="008813E6"/>
    <w:rsid w:val="00A4043E"/>
    <w:rsid w:val="00B2491A"/>
    <w:rsid w:val="00EE242B"/>
    <w:rsid w:val="00EF5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BAC0"/>
  <w15:chartTrackingRefBased/>
  <w15:docId w15:val="{806FC906-0DD1-4964-B5CA-F15419D7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3E6"/>
    <w:rPr>
      <w:lang w:val="en-US"/>
    </w:rPr>
  </w:style>
  <w:style w:type="paragraph" w:styleId="Nagwek1">
    <w:name w:val="heading 1"/>
    <w:basedOn w:val="Normalny"/>
    <w:next w:val="Normalny"/>
    <w:link w:val="Nagwek1Znak"/>
    <w:uiPriority w:val="9"/>
    <w:qFormat/>
    <w:rsid w:val="008813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813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813E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813E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813E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813E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813E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813E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813E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813E6"/>
    <w:rPr>
      <w:rFonts w:asciiTheme="majorHAnsi" w:eastAsiaTheme="majorEastAsia" w:hAnsiTheme="majorHAnsi" w:cstheme="majorBidi"/>
      <w:color w:val="0F4761" w:themeColor="accent1" w:themeShade="BF"/>
      <w:sz w:val="40"/>
      <w:szCs w:val="40"/>
      <w:lang w:val="en-US"/>
    </w:rPr>
  </w:style>
  <w:style w:type="character" w:customStyle="1" w:styleId="Nagwek2Znak">
    <w:name w:val="Nagłówek 2 Znak"/>
    <w:basedOn w:val="Domylnaczcionkaakapitu"/>
    <w:link w:val="Nagwek2"/>
    <w:uiPriority w:val="9"/>
    <w:semiHidden/>
    <w:rsid w:val="008813E6"/>
    <w:rPr>
      <w:rFonts w:asciiTheme="majorHAnsi" w:eastAsiaTheme="majorEastAsia" w:hAnsiTheme="majorHAnsi" w:cstheme="majorBidi"/>
      <w:color w:val="0F4761" w:themeColor="accent1" w:themeShade="BF"/>
      <w:sz w:val="32"/>
      <w:szCs w:val="32"/>
      <w:lang w:val="en-US"/>
    </w:rPr>
  </w:style>
  <w:style w:type="character" w:customStyle="1" w:styleId="Nagwek3Znak">
    <w:name w:val="Nagłówek 3 Znak"/>
    <w:basedOn w:val="Domylnaczcionkaakapitu"/>
    <w:link w:val="Nagwek3"/>
    <w:uiPriority w:val="9"/>
    <w:semiHidden/>
    <w:rsid w:val="008813E6"/>
    <w:rPr>
      <w:rFonts w:eastAsiaTheme="majorEastAsia" w:cstheme="majorBidi"/>
      <w:color w:val="0F4761" w:themeColor="accent1" w:themeShade="BF"/>
      <w:sz w:val="28"/>
      <w:szCs w:val="28"/>
      <w:lang w:val="en-US"/>
    </w:rPr>
  </w:style>
  <w:style w:type="character" w:customStyle="1" w:styleId="Nagwek4Znak">
    <w:name w:val="Nagłówek 4 Znak"/>
    <w:basedOn w:val="Domylnaczcionkaakapitu"/>
    <w:link w:val="Nagwek4"/>
    <w:uiPriority w:val="9"/>
    <w:semiHidden/>
    <w:rsid w:val="008813E6"/>
    <w:rPr>
      <w:rFonts w:eastAsiaTheme="majorEastAsia" w:cstheme="majorBidi"/>
      <w:i/>
      <w:iCs/>
      <w:color w:val="0F4761" w:themeColor="accent1" w:themeShade="BF"/>
      <w:lang w:val="en-US"/>
    </w:rPr>
  </w:style>
  <w:style w:type="character" w:customStyle="1" w:styleId="Nagwek5Znak">
    <w:name w:val="Nagłówek 5 Znak"/>
    <w:basedOn w:val="Domylnaczcionkaakapitu"/>
    <w:link w:val="Nagwek5"/>
    <w:uiPriority w:val="9"/>
    <w:semiHidden/>
    <w:rsid w:val="008813E6"/>
    <w:rPr>
      <w:rFonts w:eastAsiaTheme="majorEastAsia" w:cstheme="majorBidi"/>
      <w:color w:val="0F4761" w:themeColor="accent1" w:themeShade="BF"/>
      <w:lang w:val="en-US"/>
    </w:rPr>
  </w:style>
  <w:style w:type="character" w:customStyle="1" w:styleId="Nagwek6Znak">
    <w:name w:val="Nagłówek 6 Znak"/>
    <w:basedOn w:val="Domylnaczcionkaakapitu"/>
    <w:link w:val="Nagwek6"/>
    <w:uiPriority w:val="9"/>
    <w:semiHidden/>
    <w:rsid w:val="008813E6"/>
    <w:rPr>
      <w:rFonts w:eastAsiaTheme="majorEastAsia" w:cstheme="majorBidi"/>
      <w:i/>
      <w:iCs/>
      <w:color w:val="595959" w:themeColor="text1" w:themeTint="A6"/>
      <w:lang w:val="en-US"/>
    </w:rPr>
  </w:style>
  <w:style w:type="character" w:customStyle="1" w:styleId="Nagwek7Znak">
    <w:name w:val="Nagłówek 7 Znak"/>
    <w:basedOn w:val="Domylnaczcionkaakapitu"/>
    <w:link w:val="Nagwek7"/>
    <w:uiPriority w:val="9"/>
    <w:semiHidden/>
    <w:rsid w:val="008813E6"/>
    <w:rPr>
      <w:rFonts w:eastAsiaTheme="majorEastAsia" w:cstheme="majorBidi"/>
      <w:color w:val="595959" w:themeColor="text1" w:themeTint="A6"/>
      <w:lang w:val="en-US"/>
    </w:rPr>
  </w:style>
  <w:style w:type="character" w:customStyle="1" w:styleId="Nagwek8Znak">
    <w:name w:val="Nagłówek 8 Znak"/>
    <w:basedOn w:val="Domylnaczcionkaakapitu"/>
    <w:link w:val="Nagwek8"/>
    <w:uiPriority w:val="9"/>
    <w:semiHidden/>
    <w:rsid w:val="008813E6"/>
    <w:rPr>
      <w:rFonts w:eastAsiaTheme="majorEastAsia" w:cstheme="majorBidi"/>
      <w:i/>
      <w:iCs/>
      <w:color w:val="272727" w:themeColor="text1" w:themeTint="D8"/>
      <w:lang w:val="en-US"/>
    </w:rPr>
  </w:style>
  <w:style w:type="character" w:customStyle="1" w:styleId="Nagwek9Znak">
    <w:name w:val="Nagłówek 9 Znak"/>
    <w:basedOn w:val="Domylnaczcionkaakapitu"/>
    <w:link w:val="Nagwek9"/>
    <w:uiPriority w:val="9"/>
    <w:semiHidden/>
    <w:rsid w:val="008813E6"/>
    <w:rPr>
      <w:rFonts w:eastAsiaTheme="majorEastAsia" w:cstheme="majorBidi"/>
      <w:color w:val="272727" w:themeColor="text1" w:themeTint="D8"/>
      <w:lang w:val="en-US"/>
    </w:rPr>
  </w:style>
  <w:style w:type="paragraph" w:styleId="Tytu">
    <w:name w:val="Title"/>
    <w:basedOn w:val="Normalny"/>
    <w:next w:val="Normalny"/>
    <w:link w:val="TytuZnak"/>
    <w:uiPriority w:val="10"/>
    <w:qFormat/>
    <w:rsid w:val="008813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813E6"/>
    <w:rPr>
      <w:rFonts w:asciiTheme="majorHAnsi" w:eastAsiaTheme="majorEastAsia" w:hAnsiTheme="majorHAnsi" w:cstheme="majorBidi"/>
      <w:spacing w:val="-10"/>
      <w:kern w:val="28"/>
      <w:sz w:val="56"/>
      <w:szCs w:val="56"/>
      <w:lang w:val="en-US"/>
    </w:rPr>
  </w:style>
  <w:style w:type="paragraph" w:styleId="Podtytu">
    <w:name w:val="Subtitle"/>
    <w:basedOn w:val="Normalny"/>
    <w:next w:val="Normalny"/>
    <w:link w:val="PodtytuZnak"/>
    <w:uiPriority w:val="11"/>
    <w:qFormat/>
    <w:rsid w:val="008813E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813E6"/>
    <w:rPr>
      <w:rFonts w:eastAsiaTheme="majorEastAsia" w:cstheme="majorBidi"/>
      <w:color w:val="595959" w:themeColor="text1" w:themeTint="A6"/>
      <w:spacing w:val="15"/>
      <w:sz w:val="28"/>
      <w:szCs w:val="28"/>
      <w:lang w:val="en-US"/>
    </w:rPr>
  </w:style>
  <w:style w:type="paragraph" w:styleId="Cytat">
    <w:name w:val="Quote"/>
    <w:basedOn w:val="Normalny"/>
    <w:next w:val="Normalny"/>
    <w:link w:val="CytatZnak"/>
    <w:uiPriority w:val="29"/>
    <w:qFormat/>
    <w:rsid w:val="008813E6"/>
    <w:pPr>
      <w:spacing w:before="160"/>
      <w:jc w:val="center"/>
    </w:pPr>
    <w:rPr>
      <w:i/>
      <w:iCs/>
      <w:color w:val="404040" w:themeColor="text1" w:themeTint="BF"/>
    </w:rPr>
  </w:style>
  <w:style w:type="character" w:customStyle="1" w:styleId="CytatZnak">
    <w:name w:val="Cytat Znak"/>
    <w:basedOn w:val="Domylnaczcionkaakapitu"/>
    <w:link w:val="Cytat"/>
    <w:uiPriority w:val="29"/>
    <w:rsid w:val="008813E6"/>
    <w:rPr>
      <w:i/>
      <w:iCs/>
      <w:color w:val="404040" w:themeColor="text1" w:themeTint="BF"/>
      <w:lang w:val="en-US"/>
    </w:rPr>
  </w:style>
  <w:style w:type="paragraph" w:styleId="Akapitzlist">
    <w:name w:val="List Paragraph"/>
    <w:basedOn w:val="Normalny"/>
    <w:uiPriority w:val="34"/>
    <w:qFormat/>
    <w:rsid w:val="008813E6"/>
    <w:pPr>
      <w:ind w:left="720"/>
      <w:contextualSpacing/>
    </w:pPr>
  </w:style>
  <w:style w:type="character" w:styleId="Wyrnienieintensywne">
    <w:name w:val="Intense Emphasis"/>
    <w:basedOn w:val="Domylnaczcionkaakapitu"/>
    <w:uiPriority w:val="21"/>
    <w:qFormat/>
    <w:rsid w:val="008813E6"/>
    <w:rPr>
      <w:i/>
      <w:iCs/>
      <w:color w:val="0F4761" w:themeColor="accent1" w:themeShade="BF"/>
    </w:rPr>
  </w:style>
  <w:style w:type="paragraph" w:styleId="Cytatintensywny">
    <w:name w:val="Intense Quote"/>
    <w:basedOn w:val="Normalny"/>
    <w:next w:val="Normalny"/>
    <w:link w:val="CytatintensywnyZnak"/>
    <w:uiPriority w:val="30"/>
    <w:qFormat/>
    <w:rsid w:val="008813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813E6"/>
    <w:rPr>
      <w:i/>
      <w:iCs/>
      <w:color w:val="0F4761" w:themeColor="accent1" w:themeShade="BF"/>
      <w:lang w:val="en-US"/>
    </w:rPr>
  </w:style>
  <w:style w:type="character" w:styleId="Odwoanieintensywne">
    <w:name w:val="Intense Reference"/>
    <w:basedOn w:val="Domylnaczcionkaakapitu"/>
    <w:uiPriority w:val="32"/>
    <w:qFormat/>
    <w:rsid w:val="008813E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1470</Words>
  <Characters>8820</Characters>
  <Application>Microsoft Office Word</Application>
  <DocSecurity>0</DocSecurity>
  <Lines>73</Lines>
  <Paragraphs>20</Paragraphs>
  <ScaleCrop>false</ScaleCrop>
  <Company/>
  <LinksUpToDate>false</LinksUpToDate>
  <CharactersWithSpaces>10270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Charkiewicz Piotr  (DWMPC)</dc:creator>
  <cp:keywords/>
  <dc:description/>
  <cp:lastModifiedBy>Charkiewicz Piotr  (DWMPC)</cp:lastModifiedBy>
  <cp:revision>1</cp:revision>
  <dcterms:created xsi:type="dcterms:W3CDTF">2025-11-17T09:43:00Z</dcterms:created>
  <dcterms:modified xsi:type="dcterms:W3CDTF">2025-11-17T09:45:00Z</dcterms:modified>
</cp:coreProperties>
</file>